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C5FFF" w:rsidP="005C4F00" w:rsidRDefault="00F342BE" w14:paraId="4F245985" w14:textId="77777777">
      <w:pPr>
        <w:pStyle w:val="Heading1"/>
        <w:jc w:val="left"/>
      </w:pPr>
      <w:r w:rsidRPr="00FD2D00">
        <w:rPr>
          <w:noProof/>
          <w:u w:val="none"/>
        </w:rPr>
        <w:drawing>
          <wp:inline distT="0" distB="0" distL="0" distR="0" wp14:anchorId="6AC7FE11" wp14:editId="07777777">
            <wp:extent cx="1162050" cy="1162050"/>
            <wp:effectExtent l="0" t="0" r="0" b="0"/>
            <wp:docPr id="1" name="Picture 619795937" descr="A picture containing black, dark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795937" descr="A picture containing black, darkn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F00">
        <w:rPr>
          <w:u w:val="none"/>
        </w:rPr>
        <w:tab/>
      </w:r>
      <w:r w:rsidR="005C4F00">
        <w:rPr>
          <w:u w:val="none"/>
        </w:rPr>
        <w:tab/>
      </w:r>
      <w:r w:rsidRPr="005C4F00" w:rsidR="00FA78FF">
        <w:rPr>
          <w:u w:val="none"/>
        </w:rPr>
        <w:t>Paddock Wood Community Centre Hire</w:t>
      </w:r>
    </w:p>
    <w:p w:rsidR="00CC5FFF" w:rsidRDefault="00FA78FF" w14:paraId="29D6B04F" w14:textId="77777777">
      <w:pPr>
        <w:spacing w:after="162"/>
        <w:ind w:left="0" w:firstLine="0"/>
      </w:pPr>
      <w:r>
        <w:t xml:space="preserve"> </w:t>
      </w:r>
    </w:p>
    <w:p w:rsidR="00CC5FFF" w:rsidRDefault="00FA78FF" w14:paraId="49B6310E" w14:textId="77777777">
      <w:pPr>
        <w:ind w:left="-5"/>
      </w:pPr>
      <w:r>
        <w:t xml:space="preserve">Thank you for your interest in hiring the new, modern facilities at the Paddock Wood Community Centre.  </w:t>
      </w:r>
    </w:p>
    <w:p w:rsidR="00CC5FFF" w:rsidRDefault="00FA78FF" w14:paraId="5365707D" w14:textId="77777777">
      <w:pPr>
        <w:ind w:left="-5"/>
      </w:pPr>
      <w:r>
        <w:t xml:space="preserve">Here at the centre, we have one large hall which can be divided into three separate smaller halls. Each hall is named after a type of hop grown around Paddock Wood in the post war years. These are the Sovereign, Bramling and Endeavour Halls </w:t>
      </w:r>
    </w:p>
    <w:p w:rsidR="00CC5FFF" w:rsidRDefault="00FA78FF" w14:paraId="55D6A07B" w14:textId="77777777">
      <w:pPr>
        <w:ind w:left="-5"/>
      </w:pPr>
      <w:r>
        <w:t xml:space="preserve">We have two full height sound reducing room dividers which divide the halls. These can be folded away to provide a very large hall measuring 24.8m x 9.8m.  </w:t>
      </w:r>
    </w:p>
    <w:p w:rsidR="00CC5FFF" w:rsidRDefault="00FA78FF" w14:paraId="68E84A00" w14:textId="77777777">
      <w:pPr>
        <w:ind w:left="-5"/>
      </w:pPr>
      <w:r>
        <w:t>We also have a meeting room, the Elizabeth Thomas Room</w:t>
      </w:r>
      <w:r w:rsidR="00EF61F2">
        <w:t>,</w:t>
      </w:r>
      <w:r>
        <w:t xml:space="preserve"> which is fondly named after a long serving Town and Borough Councillor of Paddock Wood.  </w:t>
      </w:r>
    </w:p>
    <w:p w:rsidR="00CC5FFF" w:rsidRDefault="00FA78FF" w14:paraId="423472D1" w14:textId="26C00D06">
      <w:pPr>
        <w:ind w:left="-5"/>
      </w:pPr>
      <w:r>
        <w:t xml:space="preserve">There is also a large foyer and fully equipped Industrial Kitchen. </w:t>
      </w:r>
    </w:p>
    <w:p w:rsidR="00CC5FFF" w:rsidRDefault="00FA78FF" w14:paraId="4DA86BCB" w14:textId="77777777">
      <w:pPr>
        <w:ind w:left="-5"/>
      </w:pPr>
      <w:r>
        <w:t xml:space="preserve">The Community Centre has full disabled access throughout the building.  </w:t>
      </w:r>
    </w:p>
    <w:p w:rsidR="00CC5FFF" w:rsidRDefault="00FA78FF" w14:paraId="3619DA74" w14:textId="77777777">
      <w:pPr>
        <w:ind w:left="-5"/>
      </w:pPr>
      <w:r>
        <w:t xml:space="preserve">There are 64 parking spaces, including 4 disabled bays, 6 EVC bays and a coach parking bay. </w:t>
      </w:r>
    </w:p>
    <w:p w:rsidR="00CC5FFF" w:rsidRDefault="00FA78FF" w14:paraId="4025FCCC" w14:textId="77777777">
      <w:pPr>
        <w:ind w:left="-5"/>
      </w:pPr>
      <w:r>
        <w:t xml:space="preserve">There are many toilets including baby changing facilities and a disabled toilet.  </w:t>
      </w:r>
    </w:p>
    <w:p w:rsidR="00CC5FFF" w:rsidP="00430FAB" w:rsidRDefault="00FA78FF" w14:paraId="578DD695" w14:textId="77777777">
      <w:pPr>
        <w:ind w:left="-5"/>
      </w:pPr>
      <w:r>
        <w:t xml:space="preserve">The Community Centre </w:t>
      </w:r>
      <w:proofErr w:type="gramStart"/>
      <w:r>
        <w:t>is located in</w:t>
      </w:r>
      <w:proofErr w:type="gramEnd"/>
      <w:r>
        <w:t xml:space="preserve"> the Memorial Field with pleasant views across the field and bordered by iconic Scots Pine Trees. The field also boasts two tennis courts, a football pitch, a cricket square and a children’s play area.  </w:t>
      </w:r>
    </w:p>
    <w:p w:rsidR="00CC5FFF" w:rsidRDefault="00FA78FF" w14:paraId="7ACC29C7" w14:textId="0266ECBF">
      <w:pPr>
        <w:pStyle w:val="Heading1"/>
      </w:pPr>
      <w:r>
        <w:t xml:space="preserve">Hire Charges from </w:t>
      </w:r>
      <w:r w:rsidR="006E0DDF">
        <w:t>September</w:t>
      </w:r>
      <w:r w:rsidR="00B62107">
        <w:t xml:space="preserve"> 2024</w:t>
      </w:r>
      <w:r>
        <w:rPr>
          <w:u w:val="none"/>
        </w:rPr>
        <w:t xml:space="preserve"> </w:t>
      </w:r>
      <w:r w:rsidR="006E0DDF">
        <w:rPr>
          <w:u w:val="none"/>
        </w:rPr>
        <w:t>(</w:t>
      </w:r>
      <w:r w:rsidR="55BC17D5">
        <w:rPr>
          <w:u w:val="none"/>
        </w:rPr>
        <w:t>Events</w:t>
      </w:r>
      <w:r w:rsidR="006E0DDF">
        <w:rPr>
          <w:u w:val="none"/>
        </w:rPr>
        <w:t xml:space="preserve">) </w:t>
      </w:r>
    </w:p>
    <w:p w:rsidR="00CC5FFF" w:rsidRDefault="00FA78FF" w14:paraId="00BD047A" w14:textId="77777777">
      <w:pPr>
        <w:ind w:left="-5"/>
      </w:pPr>
      <w:r>
        <w:t xml:space="preserve">There are three levels of charges, for residents of Paddock Wood, non-residents of Paddock Wood and business hirers. (please see Terms &amp; Conditions for further details) </w:t>
      </w:r>
    </w:p>
    <w:p w:rsidR="00CC5FFF" w:rsidRDefault="00FA78FF" w14:paraId="1ED99502" w14:textId="77777777">
      <w:pPr>
        <w:tabs>
          <w:tab w:val="center" w:pos="2905"/>
          <w:tab w:val="center" w:pos="4821"/>
        </w:tabs>
        <w:ind w:left="-15" w:firstLine="0"/>
      </w:pPr>
      <w:r>
        <w:t xml:space="preserve">Off Peak times </w:t>
      </w:r>
      <w:proofErr w:type="gramStart"/>
      <w:r>
        <w:t xml:space="preserve">-  </w:t>
      </w:r>
      <w:r>
        <w:tab/>
      </w:r>
      <w:proofErr w:type="gramEnd"/>
      <w:r>
        <w:t xml:space="preserve">Monday – Friday  </w:t>
      </w:r>
      <w:r>
        <w:tab/>
      </w:r>
      <w:r>
        <w:t xml:space="preserve">9am – 5pm </w:t>
      </w:r>
    </w:p>
    <w:p w:rsidR="00CC5FFF" w:rsidP="00661A25" w:rsidRDefault="00FA78FF" w14:paraId="1A668355" w14:textId="77777777">
      <w:pPr>
        <w:tabs>
          <w:tab w:val="center" w:pos="1441"/>
          <w:tab w:val="center" w:pos="2904"/>
          <w:tab w:val="center" w:pos="6374"/>
        </w:tabs>
        <w:ind w:left="-15" w:firstLine="0"/>
      </w:pPr>
      <w:r>
        <w:t xml:space="preserve">Peak times </w:t>
      </w:r>
      <w:proofErr w:type="gramStart"/>
      <w:r>
        <w:t xml:space="preserve">-  </w:t>
      </w:r>
      <w:r>
        <w:tab/>
      </w:r>
      <w:proofErr w:type="gramEnd"/>
      <w:r>
        <w:t xml:space="preserve"> </w:t>
      </w:r>
      <w:r>
        <w:tab/>
      </w:r>
      <w:r>
        <w:t xml:space="preserve">Monday – Friday  </w:t>
      </w:r>
      <w:r>
        <w:tab/>
      </w:r>
      <w:r>
        <w:t xml:space="preserve">5pm – 11pm          All day Saturday &amp; Sunday. </w:t>
      </w:r>
    </w:p>
    <w:p w:rsidR="00CC5FFF" w:rsidP="00661A25" w:rsidRDefault="00FA78FF" w14:paraId="5C60DC69" w14:textId="77777777">
      <w:pPr>
        <w:ind w:left="-5"/>
      </w:pPr>
      <w:r>
        <w:t xml:space="preserve">All halls and rooms have large windows and doors overlooking the Memorial Field.  </w:t>
      </w:r>
    </w:p>
    <w:p w:rsidR="00CC5FFF" w:rsidRDefault="00FA78FF" w14:paraId="5719EDE0" w14:textId="77777777">
      <w:pPr>
        <w:spacing w:after="159" w:line="260" w:lineRule="auto"/>
        <w:ind w:left="-5"/>
      </w:pPr>
      <w:r>
        <w:rPr>
          <w:b/>
        </w:rPr>
        <w:t xml:space="preserve">Sovereign Hall: </w:t>
      </w:r>
    </w:p>
    <w:p w:rsidR="00CC5FFF" w:rsidRDefault="00FA78FF" w14:paraId="2EFFFEB5" w14:textId="5B620D90">
      <w:pPr>
        <w:spacing w:after="0"/>
        <w:ind w:left="-5"/>
      </w:pPr>
      <w:r>
        <w:t>This hall measures 9.2m x 9.8m (90.2m2). Prices are per hour.  There is a large serving hatch from the kitchen, direct access to the kitchen and foyer</w:t>
      </w:r>
      <w:r w:rsidR="007337B5">
        <w:t>.</w:t>
      </w:r>
    </w:p>
    <w:tbl>
      <w:tblPr>
        <w:tblW w:w="6766" w:type="dxa"/>
        <w:tblInd w:w="4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2256"/>
        <w:gridCol w:w="2253"/>
        <w:gridCol w:w="2257"/>
      </w:tblGrid>
      <w:tr w:rsidRPr="00FD2D00" w:rsidR="00CC5FFF" w:rsidTr="796A5F3A" w14:paraId="56F2CF73" w14:textId="77777777">
        <w:trPr>
          <w:trHeight w:val="300"/>
        </w:trPr>
        <w:tc>
          <w:tcPr>
            <w:tcW w:w="225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3ABE53D8" w14:textId="77777777">
            <w:pPr>
              <w:spacing w:after="0" w:line="240" w:lineRule="auto"/>
              <w:ind w:left="0" w:firstLine="0"/>
            </w:pPr>
            <w:r w:rsidRPr="00FD2D00">
              <w:t xml:space="preserve">Charge </w:t>
            </w:r>
          </w:p>
        </w:tc>
        <w:tc>
          <w:tcPr>
            <w:tcW w:w="225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3878C2DD" w14:textId="77777777">
            <w:pPr>
              <w:spacing w:after="0" w:line="240" w:lineRule="auto"/>
              <w:ind w:left="1" w:firstLine="0"/>
            </w:pPr>
            <w:r w:rsidRPr="00FD2D00">
              <w:t xml:space="preserve">Residents  </w:t>
            </w:r>
          </w:p>
        </w:tc>
        <w:tc>
          <w:tcPr>
            <w:tcW w:w="225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00C037FA" w14:textId="77777777">
            <w:pPr>
              <w:spacing w:after="0" w:line="240" w:lineRule="auto"/>
              <w:ind w:left="0" w:firstLine="0"/>
            </w:pPr>
            <w:proofErr w:type="gramStart"/>
            <w:r w:rsidRPr="00FD2D00">
              <w:t>Non Residents</w:t>
            </w:r>
            <w:proofErr w:type="gramEnd"/>
            <w:r w:rsidRPr="00FD2D00">
              <w:t xml:space="preserve">  </w:t>
            </w:r>
          </w:p>
        </w:tc>
      </w:tr>
      <w:tr w:rsidRPr="00FD2D00" w:rsidR="006E0DDF" w:rsidTr="796A5F3A" w14:paraId="512B3FC0" w14:textId="77777777">
        <w:trPr>
          <w:trHeight w:val="300"/>
        </w:trPr>
        <w:tc>
          <w:tcPr>
            <w:tcW w:w="225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6E0DDF" w:rsidP="00FD2D00" w:rsidRDefault="006E0DDF" w14:paraId="36A141A8" w14:textId="187B7A32">
            <w:pPr>
              <w:spacing w:after="0" w:line="240" w:lineRule="auto"/>
              <w:ind w:left="0" w:firstLine="0"/>
            </w:pPr>
          </w:p>
        </w:tc>
        <w:tc>
          <w:tcPr>
            <w:tcW w:w="225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6E0DDF" w:rsidP="00FD2D00" w:rsidRDefault="006E0DDF" w14:paraId="2F473F21" w14:textId="77777777">
            <w:pPr>
              <w:spacing w:after="0" w:line="240" w:lineRule="auto"/>
              <w:ind w:left="1" w:firstLine="0"/>
            </w:pPr>
            <w:r>
              <w:t>£25</w:t>
            </w:r>
          </w:p>
        </w:tc>
        <w:tc>
          <w:tcPr>
            <w:tcW w:w="225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6E0DDF" w:rsidP="00FD2D00" w:rsidRDefault="006E0DDF" w14:paraId="24388238" w14:textId="77777777">
            <w:pPr>
              <w:spacing w:after="0" w:line="240" w:lineRule="auto"/>
              <w:ind w:left="0" w:firstLine="0"/>
            </w:pPr>
            <w:r>
              <w:t>£30</w:t>
            </w:r>
          </w:p>
        </w:tc>
      </w:tr>
    </w:tbl>
    <w:p w:rsidR="00CC5FFF" w:rsidRDefault="00FA78FF" w14:paraId="0A6959E7" w14:textId="77777777">
      <w:pPr>
        <w:spacing w:after="0"/>
        <w:ind w:left="0" w:firstLine="0"/>
      </w:pPr>
      <w:r>
        <w:rPr>
          <w:b/>
        </w:rPr>
        <w:t xml:space="preserve"> </w:t>
      </w:r>
    </w:p>
    <w:p w:rsidR="00CC5FFF" w:rsidRDefault="00FA78FF" w14:paraId="796878EE" w14:textId="77777777">
      <w:pPr>
        <w:spacing w:after="159" w:line="260" w:lineRule="auto"/>
        <w:ind w:left="-5"/>
      </w:pPr>
      <w:r>
        <w:rPr>
          <w:b/>
        </w:rPr>
        <w:t xml:space="preserve">Bramling Hall: </w:t>
      </w:r>
    </w:p>
    <w:p w:rsidR="00CC5FFF" w:rsidRDefault="00FA78FF" w14:paraId="5CBE5F03" w14:textId="30C05A4D">
      <w:pPr>
        <w:spacing w:after="0"/>
        <w:ind w:left="-5"/>
      </w:pPr>
      <w:r>
        <w:t xml:space="preserve">This hall measures 6.1m x 9.8m (57.9m2). Prices are per hour.  </w:t>
      </w:r>
    </w:p>
    <w:tbl>
      <w:tblPr>
        <w:tblW w:w="6766" w:type="dxa"/>
        <w:tblInd w:w="4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2256"/>
        <w:gridCol w:w="2253"/>
        <w:gridCol w:w="2257"/>
      </w:tblGrid>
      <w:tr w:rsidRPr="00FD2D00" w:rsidR="00CC5FFF" w:rsidTr="796A5F3A" w14:paraId="6F791043" w14:textId="77777777">
        <w:trPr>
          <w:trHeight w:val="300"/>
        </w:trPr>
        <w:tc>
          <w:tcPr>
            <w:tcW w:w="225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23E2291C" w14:textId="77777777">
            <w:pPr>
              <w:spacing w:after="0" w:line="240" w:lineRule="auto"/>
              <w:ind w:left="0" w:firstLine="0"/>
            </w:pPr>
            <w:r w:rsidRPr="00FD2D00">
              <w:t xml:space="preserve">Charge </w:t>
            </w:r>
          </w:p>
        </w:tc>
        <w:tc>
          <w:tcPr>
            <w:tcW w:w="225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1F8FA93D" w14:textId="77777777">
            <w:pPr>
              <w:spacing w:after="0" w:line="240" w:lineRule="auto"/>
              <w:ind w:left="1" w:firstLine="0"/>
            </w:pPr>
            <w:r w:rsidRPr="00FD2D00">
              <w:t xml:space="preserve">Residents </w:t>
            </w:r>
          </w:p>
        </w:tc>
        <w:tc>
          <w:tcPr>
            <w:tcW w:w="225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4AD1E2E4" w14:textId="77777777">
            <w:pPr>
              <w:spacing w:after="0" w:line="240" w:lineRule="auto"/>
              <w:ind w:left="0" w:firstLine="0"/>
            </w:pPr>
            <w:proofErr w:type="gramStart"/>
            <w:r w:rsidRPr="00FD2D00">
              <w:t>Non Residents</w:t>
            </w:r>
            <w:proofErr w:type="gramEnd"/>
            <w:r w:rsidRPr="00FD2D00">
              <w:t xml:space="preserve"> </w:t>
            </w:r>
          </w:p>
        </w:tc>
      </w:tr>
      <w:tr w:rsidRPr="00FD2D00" w:rsidR="006E0DDF" w:rsidTr="796A5F3A" w14:paraId="787A367E" w14:textId="77777777">
        <w:trPr>
          <w:trHeight w:val="300"/>
        </w:trPr>
        <w:tc>
          <w:tcPr>
            <w:tcW w:w="225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7A405C" w:rsidP="00FD2D00" w:rsidRDefault="007A405C" w14:paraId="746FA92D" w14:textId="4DAF9333">
            <w:pPr>
              <w:spacing w:after="0" w:line="240" w:lineRule="auto"/>
              <w:ind w:left="0" w:firstLine="0"/>
            </w:pPr>
          </w:p>
        </w:tc>
        <w:tc>
          <w:tcPr>
            <w:tcW w:w="225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6E0DDF" w:rsidP="00FD2D00" w:rsidRDefault="006E0DDF" w14:paraId="4C40AE0D" w14:textId="77777777">
            <w:pPr>
              <w:spacing w:after="0" w:line="240" w:lineRule="auto"/>
              <w:ind w:left="1" w:firstLine="0"/>
            </w:pPr>
            <w:r>
              <w:t>£20</w:t>
            </w:r>
          </w:p>
        </w:tc>
        <w:tc>
          <w:tcPr>
            <w:tcW w:w="225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6E0DDF" w:rsidP="00FD2D00" w:rsidRDefault="006E0DDF" w14:paraId="66C7D5D1" w14:textId="77777777">
            <w:pPr>
              <w:spacing w:after="0" w:line="240" w:lineRule="auto"/>
              <w:ind w:left="0" w:firstLine="0"/>
            </w:pPr>
            <w:r>
              <w:t>£25</w:t>
            </w:r>
          </w:p>
        </w:tc>
      </w:tr>
    </w:tbl>
    <w:p w:rsidR="00CC5FFF" w:rsidRDefault="00FA78FF" w14:paraId="100C5B58" w14:textId="77777777">
      <w:pPr>
        <w:spacing w:after="158"/>
        <w:ind w:left="0" w:firstLine="0"/>
        <w:rPr>
          <w:b/>
        </w:rPr>
      </w:pPr>
      <w:r>
        <w:rPr>
          <w:b/>
        </w:rPr>
        <w:t xml:space="preserve"> </w:t>
      </w:r>
    </w:p>
    <w:p w:rsidR="007337B5" w:rsidRDefault="007337B5" w14:paraId="6F7FFD48" w14:textId="77777777">
      <w:pPr>
        <w:spacing w:after="158"/>
        <w:ind w:left="0" w:firstLine="0"/>
        <w:rPr>
          <w:b/>
        </w:rPr>
      </w:pPr>
    </w:p>
    <w:p w:rsidR="007337B5" w:rsidRDefault="007337B5" w14:paraId="46AE45FE" w14:textId="77777777">
      <w:pPr>
        <w:spacing w:after="158"/>
        <w:ind w:left="0" w:firstLine="0"/>
      </w:pPr>
    </w:p>
    <w:p w:rsidR="00CC5FFF" w:rsidRDefault="00FA78FF" w14:paraId="5533B798" w14:textId="77777777">
      <w:pPr>
        <w:spacing w:after="159" w:line="260" w:lineRule="auto"/>
        <w:ind w:left="-5"/>
      </w:pPr>
      <w:r>
        <w:rPr>
          <w:b/>
        </w:rPr>
        <w:t xml:space="preserve">Endeavour Hall: </w:t>
      </w:r>
    </w:p>
    <w:p w:rsidR="00CC5FFF" w:rsidRDefault="00FA78FF" w14:paraId="7B57778F" w14:textId="77777777">
      <w:pPr>
        <w:spacing w:after="0"/>
        <w:ind w:left="-5"/>
      </w:pPr>
      <w:r>
        <w:t xml:space="preserve">This hall measures 9.5m x 9.8m (93.2m2). Prices are per hour.  </w:t>
      </w:r>
    </w:p>
    <w:tbl>
      <w:tblPr>
        <w:tblW w:w="6766" w:type="dxa"/>
        <w:tblInd w:w="4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2256"/>
        <w:gridCol w:w="2253"/>
        <w:gridCol w:w="2257"/>
      </w:tblGrid>
      <w:tr w:rsidRPr="00FD2D00" w:rsidR="00CC5FFF" w:rsidTr="796A5F3A" w14:paraId="39AFADFE" w14:textId="77777777">
        <w:trPr>
          <w:trHeight w:val="300"/>
        </w:trPr>
        <w:tc>
          <w:tcPr>
            <w:tcW w:w="225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4EBBF3EC" w14:textId="77777777">
            <w:pPr>
              <w:spacing w:after="0" w:line="240" w:lineRule="auto"/>
              <w:ind w:left="0" w:firstLine="0"/>
            </w:pPr>
            <w:r w:rsidRPr="00FD2D00">
              <w:t xml:space="preserve">Charge </w:t>
            </w:r>
          </w:p>
        </w:tc>
        <w:tc>
          <w:tcPr>
            <w:tcW w:w="225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22A5F3E9" w14:textId="77777777">
            <w:pPr>
              <w:spacing w:after="0" w:line="240" w:lineRule="auto"/>
              <w:ind w:left="1" w:firstLine="0"/>
            </w:pPr>
            <w:r w:rsidRPr="00FD2D00">
              <w:t xml:space="preserve">Residents </w:t>
            </w:r>
          </w:p>
        </w:tc>
        <w:tc>
          <w:tcPr>
            <w:tcW w:w="225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2C871AEE" w14:textId="77777777">
            <w:pPr>
              <w:spacing w:after="0" w:line="240" w:lineRule="auto"/>
              <w:ind w:left="0" w:firstLine="0"/>
            </w:pPr>
            <w:proofErr w:type="gramStart"/>
            <w:r w:rsidRPr="00FD2D00">
              <w:t>Non Residents</w:t>
            </w:r>
            <w:proofErr w:type="gramEnd"/>
            <w:r w:rsidRPr="00FD2D00">
              <w:t xml:space="preserve"> </w:t>
            </w:r>
          </w:p>
        </w:tc>
      </w:tr>
      <w:tr w:rsidRPr="00FD2D00" w:rsidR="006E0DDF" w:rsidTr="796A5F3A" w14:paraId="4F9F5E14" w14:textId="77777777">
        <w:trPr>
          <w:trHeight w:val="300"/>
        </w:trPr>
        <w:tc>
          <w:tcPr>
            <w:tcW w:w="225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6E0DDF" w:rsidP="00FD2D00" w:rsidRDefault="006E0DDF" w14:paraId="6C7436DA" w14:textId="1BE4B0F2">
            <w:pPr>
              <w:spacing w:after="0" w:line="240" w:lineRule="auto"/>
              <w:ind w:left="0" w:firstLine="0"/>
            </w:pPr>
          </w:p>
        </w:tc>
        <w:tc>
          <w:tcPr>
            <w:tcW w:w="225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6E0DDF" w:rsidP="00FD2D00" w:rsidRDefault="006E0DDF" w14:paraId="5959E3D5" w14:textId="77777777">
            <w:pPr>
              <w:spacing w:after="0" w:line="240" w:lineRule="auto"/>
              <w:ind w:left="1" w:firstLine="0"/>
            </w:pPr>
            <w:r>
              <w:t>£25</w:t>
            </w:r>
          </w:p>
        </w:tc>
        <w:tc>
          <w:tcPr>
            <w:tcW w:w="225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6E0DDF" w:rsidP="00FD2D00" w:rsidRDefault="006E0DDF" w14:paraId="1377A5EF" w14:textId="77777777">
            <w:pPr>
              <w:spacing w:after="0" w:line="240" w:lineRule="auto"/>
              <w:ind w:left="0" w:firstLine="0"/>
            </w:pPr>
            <w:r>
              <w:t>£30</w:t>
            </w:r>
          </w:p>
        </w:tc>
      </w:tr>
    </w:tbl>
    <w:p w:rsidR="007A405C" w:rsidP="796A5F3A" w:rsidRDefault="007A405C" w14:paraId="518E6524" w14:textId="77777777">
      <w:pPr>
        <w:spacing w:after="158"/>
        <w:ind w:left="0" w:firstLine="0"/>
      </w:pPr>
    </w:p>
    <w:p w:rsidR="00CC5FFF" w:rsidP="796A5F3A" w:rsidRDefault="00FA78FF" w14:paraId="25E8211E" w14:textId="2F650570">
      <w:pPr>
        <w:spacing w:after="158"/>
        <w:ind w:left="0" w:firstLine="0"/>
      </w:pPr>
      <w:r>
        <w:t xml:space="preserve"> </w:t>
      </w:r>
      <w:r w:rsidRPr="796A5F3A">
        <w:rPr>
          <w:b/>
          <w:bCs/>
        </w:rPr>
        <w:t xml:space="preserve">Sovereign, Bramling &amp; Endeavour Halls combined: </w:t>
      </w:r>
    </w:p>
    <w:p w:rsidR="00CC5FFF" w:rsidRDefault="00FA78FF" w14:paraId="560B3751" w14:textId="77777777">
      <w:pPr>
        <w:spacing w:after="0"/>
        <w:ind w:left="-5"/>
      </w:pPr>
      <w:r>
        <w:t xml:space="preserve">This very large hall measures 24.8m x 9.8m (243m2). Prices as per hour.  </w:t>
      </w:r>
    </w:p>
    <w:tbl>
      <w:tblPr>
        <w:tblW w:w="6766" w:type="dxa"/>
        <w:tblInd w:w="4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2256"/>
        <w:gridCol w:w="2253"/>
        <w:gridCol w:w="2257"/>
      </w:tblGrid>
      <w:tr w:rsidRPr="00FD2D00" w:rsidR="00CC5FFF" w:rsidTr="796A5F3A" w14:paraId="10AE55F4" w14:textId="77777777">
        <w:trPr>
          <w:trHeight w:val="300"/>
        </w:trPr>
        <w:tc>
          <w:tcPr>
            <w:tcW w:w="225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11D93416" w14:textId="77777777">
            <w:pPr>
              <w:spacing w:after="0" w:line="240" w:lineRule="auto"/>
              <w:ind w:left="0" w:firstLine="0"/>
            </w:pPr>
            <w:r w:rsidRPr="00FD2D00">
              <w:t xml:space="preserve">Charge </w:t>
            </w:r>
          </w:p>
        </w:tc>
        <w:tc>
          <w:tcPr>
            <w:tcW w:w="225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05809FC7" w14:textId="77777777">
            <w:pPr>
              <w:spacing w:after="0" w:line="240" w:lineRule="auto"/>
              <w:ind w:left="1" w:firstLine="0"/>
            </w:pPr>
            <w:r w:rsidRPr="00FD2D00">
              <w:t xml:space="preserve">Residents </w:t>
            </w:r>
          </w:p>
        </w:tc>
        <w:tc>
          <w:tcPr>
            <w:tcW w:w="225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1D6B8FDB" w14:textId="77777777">
            <w:pPr>
              <w:spacing w:after="0" w:line="240" w:lineRule="auto"/>
              <w:ind w:left="0" w:firstLine="0"/>
            </w:pPr>
            <w:proofErr w:type="gramStart"/>
            <w:r w:rsidRPr="00FD2D00">
              <w:t>Non Residents</w:t>
            </w:r>
            <w:proofErr w:type="gramEnd"/>
            <w:r w:rsidRPr="00FD2D00">
              <w:t xml:space="preserve"> </w:t>
            </w:r>
          </w:p>
        </w:tc>
      </w:tr>
      <w:tr w:rsidRPr="00FD2D00" w:rsidR="006E0DDF" w:rsidTr="796A5F3A" w14:paraId="3B8EA5AF" w14:textId="77777777">
        <w:trPr>
          <w:trHeight w:val="300"/>
        </w:trPr>
        <w:tc>
          <w:tcPr>
            <w:tcW w:w="225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6E0DDF" w:rsidP="00FD2D00" w:rsidRDefault="006E0DDF" w14:paraId="3E34B953" w14:textId="11270240">
            <w:pPr>
              <w:spacing w:after="0" w:line="240" w:lineRule="auto"/>
              <w:ind w:left="0" w:firstLine="0"/>
            </w:pPr>
          </w:p>
        </w:tc>
        <w:tc>
          <w:tcPr>
            <w:tcW w:w="225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6E0DDF" w:rsidP="00FD2D00" w:rsidRDefault="006E0DDF" w14:paraId="7B0AD38B" w14:textId="77777777">
            <w:pPr>
              <w:spacing w:after="0" w:line="240" w:lineRule="auto"/>
              <w:ind w:left="1" w:firstLine="0"/>
            </w:pPr>
            <w:r>
              <w:t>£70</w:t>
            </w:r>
          </w:p>
        </w:tc>
        <w:tc>
          <w:tcPr>
            <w:tcW w:w="225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6E0DDF" w:rsidP="00FD2D00" w:rsidRDefault="006E0DDF" w14:paraId="75CA3BE1" w14:textId="77777777">
            <w:pPr>
              <w:spacing w:after="0" w:line="240" w:lineRule="auto"/>
              <w:ind w:left="0" w:firstLine="0"/>
            </w:pPr>
            <w:r>
              <w:t>£85</w:t>
            </w:r>
          </w:p>
        </w:tc>
      </w:tr>
    </w:tbl>
    <w:p w:rsidR="00CC5FFF" w:rsidRDefault="00FA78FF" w14:paraId="608DEACE" w14:textId="77777777">
      <w:pPr>
        <w:spacing w:after="158"/>
        <w:ind w:left="0" w:firstLine="0"/>
      </w:pPr>
      <w:r>
        <w:t xml:space="preserve"> </w:t>
      </w:r>
    </w:p>
    <w:p w:rsidR="00CC5FFF" w:rsidRDefault="00FA78FF" w14:paraId="21BD47F3" w14:textId="77777777">
      <w:pPr>
        <w:spacing w:after="159" w:line="260" w:lineRule="auto"/>
        <w:ind w:left="-5"/>
      </w:pPr>
      <w:r>
        <w:rPr>
          <w:b/>
        </w:rPr>
        <w:t xml:space="preserve">Elizabeth Thomas Meeting Room: </w:t>
      </w:r>
    </w:p>
    <w:p w:rsidR="00CC5FFF" w:rsidRDefault="00FA78FF" w14:paraId="4CDB7416" w14:textId="5216D535">
      <w:pPr>
        <w:spacing w:after="0"/>
        <w:ind w:left="-5"/>
      </w:pPr>
      <w:r>
        <w:t>This room is 14.5m2. Prices a</w:t>
      </w:r>
      <w:r w:rsidR="000F336C">
        <w:t>re</w:t>
      </w:r>
      <w:r>
        <w:t xml:space="preserve"> per hour. Includes in room Tea &amp; Coffee making facilities. Occupancy 8-10. The meeting room has a door and window opening into the Memorial Field.  </w:t>
      </w:r>
    </w:p>
    <w:tbl>
      <w:tblPr>
        <w:tblW w:w="6766" w:type="dxa"/>
        <w:tblInd w:w="4" w:type="dxa"/>
        <w:tblCellMar>
          <w:top w:w="47" w:type="dxa"/>
          <w:right w:w="115" w:type="dxa"/>
        </w:tblCellMar>
        <w:tblLook w:val="04A0" w:firstRow="1" w:lastRow="0" w:firstColumn="1" w:lastColumn="0" w:noHBand="0" w:noVBand="1"/>
      </w:tblPr>
      <w:tblGrid>
        <w:gridCol w:w="2256"/>
        <w:gridCol w:w="2253"/>
        <w:gridCol w:w="2257"/>
      </w:tblGrid>
      <w:tr w:rsidRPr="00FD2D00" w:rsidR="00CC5FFF" w:rsidTr="796A5F3A" w14:paraId="351A4657" w14:textId="77777777">
        <w:trPr>
          <w:trHeight w:val="300"/>
        </w:trPr>
        <w:tc>
          <w:tcPr>
            <w:tcW w:w="225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5633524C" w14:textId="77777777">
            <w:pPr>
              <w:spacing w:after="0" w:line="240" w:lineRule="auto"/>
              <w:ind w:left="0" w:firstLine="0"/>
            </w:pPr>
            <w:r w:rsidRPr="00FD2D00">
              <w:t xml:space="preserve">Charge </w:t>
            </w:r>
          </w:p>
        </w:tc>
        <w:tc>
          <w:tcPr>
            <w:tcW w:w="225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2F4CA9A1" w14:textId="77777777">
            <w:pPr>
              <w:spacing w:after="0" w:line="240" w:lineRule="auto"/>
              <w:ind w:left="1" w:firstLine="0"/>
            </w:pPr>
            <w:r w:rsidRPr="00FD2D00">
              <w:t xml:space="preserve">Residents </w:t>
            </w:r>
          </w:p>
        </w:tc>
        <w:tc>
          <w:tcPr>
            <w:tcW w:w="225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5A02FF6D" w14:textId="77777777">
            <w:pPr>
              <w:spacing w:after="0" w:line="240" w:lineRule="auto"/>
              <w:ind w:left="0" w:firstLine="0"/>
            </w:pPr>
            <w:proofErr w:type="gramStart"/>
            <w:r w:rsidRPr="00FD2D00">
              <w:t>Non Residents</w:t>
            </w:r>
            <w:proofErr w:type="gramEnd"/>
            <w:r w:rsidRPr="00FD2D00">
              <w:t xml:space="preserve"> </w:t>
            </w:r>
          </w:p>
        </w:tc>
      </w:tr>
      <w:tr w:rsidRPr="00FD2D00" w:rsidR="00CC5FFF" w:rsidTr="796A5F3A" w14:paraId="3BC3490C" w14:textId="77777777">
        <w:trPr>
          <w:trHeight w:val="300"/>
        </w:trPr>
        <w:tc>
          <w:tcPr>
            <w:tcW w:w="225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3EB92B61" w14:textId="77777777">
            <w:pPr>
              <w:spacing w:after="0" w:line="240" w:lineRule="auto"/>
              <w:ind w:left="0" w:firstLine="0"/>
            </w:pPr>
            <w:r w:rsidRPr="00FD2D00">
              <w:t xml:space="preserve">Off Peak </w:t>
            </w:r>
          </w:p>
        </w:tc>
        <w:tc>
          <w:tcPr>
            <w:tcW w:w="225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771AC4A9" w14:textId="77777777">
            <w:pPr>
              <w:spacing w:after="0" w:line="240" w:lineRule="auto"/>
              <w:ind w:left="1" w:firstLine="0"/>
            </w:pPr>
            <w:r w:rsidRPr="00FD2D00">
              <w:t>£1</w:t>
            </w:r>
            <w:r w:rsidR="006E0DDF">
              <w:t>2</w:t>
            </w:r>
          </w:p>
        </w:tc>
        <w:tc>
          <w:tcPr>
            <w:tcW w:w="225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44BAD205" w14:textId="77777777">
            <w:pPr>
              <w:spacing w:after="0" w:line="240" w:lineRule="auto"/>
              <w:ind w:left="0" w:firstLine="0"/>
            </w:pPr>
            <w:r w:rsidRPr="00FD2D00">
              <w:t>£1</w:t>
            </w:r>
            <w:r w:rsidR="006E0DDF">
              <w:t>4</w:t>
            </w:r>
          </w:p>
        </w:tc>
      </w:tr>
      <w:tr w:rsidRPr="00FD2D00" w:rsidR="00CC5FFF" w:rsidTr="796A5F3A" w14:paraId="463DCB78" w14:textId="77777777">
        <w:trPr>
          <w:trHeight w:val="300"/>
        </w:trPr>
        <w:tc>
          <w:tcPr>
            <w:tcW w:w="225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5B990077" w14:textId="77777777">
            <w:pPr>
              <w:spacing w:after="0" w:line="240" w:lineRule="auto"/>
              <w:ind w:left="0" w:firstLine="0"/>
            </w:pPr>
            <w:r w:rsidRPr="00FD2D00">
              <w:t xml:space="preserve">Peak  </w:t>
            </w:r>
          </w:p>
        </w:tc>
        <w:tc>
          <w:tcPr>
            <w:tcW w:w="2253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4EC814C1" w14:textId="77777777">
            <w:pPr>
              <w:spacing w:after="0" w:line="240" w:lineRule="auto"/>
              <w:ind w:left="1" w:firstLine="0"/>
            </w:pPr>
            <w:r w:rsidRPr="00FD2D00">
              <w:t>£1</w:t>
            </w:r>
            <w:r w:rsidR="006E0DDF">
              <w:t>4</w:t>
            </w:r>
          </w:p>
        </w:tc>
        <w:tc>
          <w:tcPr>
            <w:tcW w:w="2257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564B5547" w14:textId="77777777">
            <w:pPr>
              <w:spacing w:after="0" w:line="240" w:lineRule="auto"/>
              <w:ind w:left="0" w:firstLine="0"/>
            </w:pPr>
            <w:r w:rsidRPr="00FD2D00">
              <w:t>£1</w:t>
            </w:r>
            <w:r w:rsidR="006E0DDF">
              <w:t>6</w:t>
            </w:r>
          </w:p>
        </w:tc>
      </w:tr>
    </w:tbl>
    <w:p w:rsidR="00CC5FFF" w:rsidP="00C16B1C" w:rsidRDefault="00FA78FF" w14:paraId="2BAC6FC9" w14:textId="77777777">
      <w:pPr>
        <w:spacing w:after="0"/>
        <w:ind w:left="0" w:firstLine="0"/>
      </w:pPr>
      <w:r>
        <w:t xml:space="preserve"> </w:t>
      </w:r>
    </w:p>
    <w:p w:rsidR="00CC5FFF" w:rsidRDefault="00FA78FF" w14:paraId="347C68C4" w14:textId="77777777">
      <w:pPr>
        <w:spacing w:after="159" w:line="260" w:lineRule="auto"/>
        <w:ind w:left="-5"/>
      </w:pPr>
      <w:r w:rsidRPr="796A5F3A">
        <w:rPr>
          <w:b/>
          <w:bCs/>
        </w:rPr>
        <w:t xml:space="preserve">Kitchen:  </w:t>
      </w:r>
    </w:p>
    <w:tbl>
      <w:tblPr>
        <w:tblW w:w="9019" w:type="dxa"/>
        <w:tblInd w:w="4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4534"/>
        <w:gridCol w:w="4485"/>
      </w:tblGrid>
      <w:tr w:rsidRPr="00FD2D00" w:rsidR="00CC5FFF" w:rsidTr="796A5F3A" w14:paraId="6F2689D5" w14:textId="77777777">
        <w:trPr>
          <w:trHeight w:val="277"/>
        </w:trPr>
        <w:tc>
          <w:tcPr>
            <w:tcW w:w="4534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53733E0F" w14:textId="566A4ADC">
            <w:pPr>
              <w:spacing w:after="0" w:line="240" w:lineRule="auto"/>
              <w:ind w:left="0" w:firstLine="0"/>
            </w:pPr>
            <w:r>
              <w:t xml:space="preserve">Kitchen Hire </w:t>
            </w:r>
          </w:p>
        </w:tc>
        <w:tc>
          <w:tcPr>
            <w:tcW w:w="4486" w:type="dxa"/>
            <w:tcBorders>
              <w:top w:val="single" w:color="000000" w:themeColor="text1" w:sz="3" w:space="0"/>
              <w:left w:val="single" w:color="000000" w:themeColor="text1" w:sz="3" w:space="0"/>
              <w:bottom w:val="single" w:color="000000" w:themeColor="text1" w:sz="3" w:space="0"/>
              <w:right w:val="single" w:color="000000" w:themeColor="text1" w:sz="3" w:space="0"/>
            </w:tcBorders>
            <w:shd w:val="clear" w:color="auto" w:fill="auto"/>
          </w:tcPr>
          <w:p w:rsidRPr="00FD2D00" w:rsidR="00CC5FFF" w:rsidP="00FD2D00" w:rsidRDefault="00FA78FF" w14:paraId="62F312D7" w14:textId="351E74EB">
            <w:pPr>
              <w:spacing w:after="0" w:line="240" w:lineRule="auto"/>
              <w:ind w:left="0" w:firstLine="0"/>
            </w:pPr>
            <w:r>
              <w:t>£1</w:t>
            </w:r>
            <w:r w:rsidR="6C6F3851">
              <w:t>0</w:t>
            </w:r>
            <w:r>
              <w:t xml:space="preserve"> per hour </w:t>
            </w:r>
          </w:p>
        </w:tc>
      </w:tr>
    </w:tbl>
    <w:p w:rsidR="00C16B1C" w:rsidRDefault="00FA78FF" w14:paraId="156A6281" w14:textId="77777777">
      <w:pPr>
        <w:spacing w:after="158"/>
        <w:ind w:left="0" w:firstLine="0"/>
        <w:rPr>
          <w:b/>
        </w:rPr>
      </w:pPr>
      <w:r>
        <w:rPr>
          <w:b/>
        </w:rPr>
        <w:t xml:space="preserve"> </w:t>
      </w:r>
    </w:p>
    <w:p w:rsidR="00C16B1C" w:rsidP="796A5F3A" w:rsidRDefault="00C16B1C" w14:paraId="326EC44A" w14:textId="770724D8">
      <w:pPr>
        <w:spacing w:after="158"/>
        <w:ind w:left="0" w:firstLine="0"/>
        <w:rPr>
          <w:b w:val="1"/>
          <w:bCs w:val="1"/>
        </w:rPr>
      </w:pPr>
      <w:r w:rsidRPr="4E57C1E6" w:rsidR="00C16B1C">
        <w:rPr>
          <w:b w:val="1"/>
          <w:bCs w:val="1"/>
        </w:rPr>
        <w:t xml:space="preserve">If you require the Centre to dispose of your rubbish, there will be a </w:t>
      </w:r>
      <w:r w:rsidRPr="4E57C1E6" w:rsidR="2DE0DFE4">
        <w:rPr>
          <w:b w:val="1"/>
          <w:bCs w:val="1"/>
        </w:rPr>
        <w:t xml:space="preserve">minimum </w:t>
      </w:r>
      <w:r w:rsidRPr="4E57C1E6" w:rsidR="00C16B1C">
        <w:rPr>
          <w:b w:val="1"/>
          <w:bCs w:val="1"/>
        </w:rPr>
        <w:t>charge of £</w:t>
      </w:r>
      <w:r w:rsidRPr="4E57C1E6" w:rsidR="4DFE8276">
        <w:rPr>
          <w:b w:val="1"/>
          <w:bCs w:val="1"/>
        </w:rPr>
        <w:t>40</w:t>
      </w:r>
      <w:r w:rsidRPr="4E57C1E6" w:rsidR="00C16B1C">
        <w:rPr>
          <w:b w:val="1"/>
          <w:bCs w:val="1"/>
        </w:rPr>
        <w:t>.</w:t>
      </w:r>
    </w:p>
    <w:p w:rsidR="00C16B1C" w:rsidP="4E57C1E6" w:rsidRDefault="00C16B1C" w14:paraId="3067037E" w14:textId="1686D985">
      <w:pPr>
        <w:spacing w:after="158"/>
        <w:ind w:left="0" w:firstLine="0"/>
        <w:rPr>
          <w:b w:val="1"/>
          <w:bCs w:val="1"/>
        </w:rPr>
      </w:pPr>
      <w:r w:rsidRPr="4E57C1E6" w:rsidR="00C16B1C">
        <w:rPr>
          <w:b w:val="1"/>
          <w:bCs w:val="1"/>
        </w:rPr>
        <w:t>If you require a room to be set up for a meeting and cleared up after the meeting, there will be a charge of £3</w:t>
      </w:r>
      <w:r w:rsidRPr="4E57C1E6" w:rsidR="46173D60">
        <w:rPr>
          <w:b w:val="1"/>
          <w:bCs w:val="1"/>
        </w:rPr>
        <w:t>5</w:t>
      </w:r>
      <w:r w:rsidRPr="4E57C1E6" w:rsidR="00C16B1C">
        <w:rPr>
          <w:b w:val="1"/>
          <w:bCs w:val="1"/>
        </w:rPr>
        <w:t>.</w:t>
      </w:r>
    </w:p>
    <w:p w:rsidRPr="00C16B1C" w:rsidR="00E02B1B" w:rsidRDefault="00E02B1B" w14:paraId="60106567" w14:textId="30F012A0">
      <w:pPr>
        <w:spacing w:after="158"/>
        <w:ind w:left="0" w:firstLine="0"/>
        <w:rPr>
          <w:b/>
          <w:bCs/>
        </w:rPr>
      </w:pPr>
      <w:r w:rsidRPr="796A5F3A">
        <w:rPr>
          <w:b/>
          <w:bCs/>
        </w:rPr>
        <w:t xml:space="preserve">The cost of cleaning the </w:t>
      </w:r>
      <w:proofErr w:type="gramStart"/>
      <w:r w:rsidRPr="796A5F3A">
        <w:rPr>
          <w:b/>
          <w:bCs/>
        </w:rPr>
        <w:t>halls</w:t>
      </w:r>
      <w:proofErr w:type="gramEnd"/>
      <w:r w:rsidRPr="796A5F3A">
        <w:rPr>
          <w:b/>
          <w:bCs/>
        </w:rPr>
        <w:t xml:space="preserve"> after your event is available on request</w:t>
      </w:r>
      <w:r w:rsidRPr="796A5F3A" w:rsidR="34444DD5">
        <w:rPr>
          <w:b/>
          <w:bCs/>
        </w:rPr>
        <w:t xml:space="preserve"> but if you do not choose this option we expect the halls to be left as you found them.</w:t>
      </w:r>
    </w:p>
    <w:p w:rsidR="00CC5FFF" w:rsidP="00E02B1B" w:rsidRDefault="00FA78FF" w14:paraId="08224C2E" w14:textId="77777777">
      <w:pPr>
        <w:spacing w:after="159" w:line="260" w:lineRule="auto"/>
        <w:ind w:left="0" w:firstLine="0"/>
        <w:rPr>
          <w:b/>
        </w:rPr>
      </w:pPr>
      <w:r>
        <w:rPr>
          <w:b/>
        </w:rPr>
        <w:t xml:space="preserve">Private Hire of the Building is available – please contact the Manager to discuss availability and your requirements. </w:t>
      </w:r>
    </w:p>
    <w:p w:rsidR="00C16B1C" w:rsidP="00430FAB" w:rsidRDefault="00C16B1C" w14:paraId="6A05A809" w14:textId="77777777">
      <w:pPr>
        <w:spacing w:after="159" w:line="260" w:lineRule="auto"/>
        <w:ind w:left="-5"/>
        <w:rPr>
          <w:b/>
        </w:rPr>
      </w:pPr>
    </w:p>
    <w:p w:rsidR="00CC5FFF" w:rsidP="00441F34" w:rsidRDefault="00430FAB" w14:paraId="34A1DF77" w14:textId="77777777">
      <w:pPr>
        <w:spacing w:after="159" w:line="260" w:lineRule="auto"/>
        <w:ind w:left="-5"/>
      </w:pPr>
      <w:hyperlink w:history="1" r:id="rId5">
        <w:r w:rsidRPr="00387A7B">
          <w:rPr>
            <w:rStyle w:val="Hyperlink"/>
            <w:b/>
          </w:rPr>
          <w:t>office@paddockwoodcc.com</w:t>
        </w:r>
      </w:hyperlink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01892 487757</w:t>
      </w:r>
      <w:r w:rsidR="00FD11BC">
        <w:rPr>
          <w:b/>
        </w:rPr>
        <w:tab/>
      </w:r>
      <w:r w:rsidR="00FD11BC">
        <w:rPr>
          <w:b/>
        </w:rPr>
        <w:tab/>
      </w:r>
      <w:r w:rsidR="00FD11BC">
        <w:rPr>
          <w:b/>
        </w:rPr>
        <w:tab/>
      </w:r>
      <w:r w:rsidR="00FD11BC">
        <w:rPr>
          <w:b/>
        </w:rPr>
        <w:t>www.paddockwoodcc.co.uk</w:t>
      </w:r>
    </w:p>
    <w:sectPr w:rsidR="00CC5FFF" w:rsidSect="005C4F00">
      <w:pgSz w:w="11908" w:h="16836" w:orient="portrait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FF"/>
    <w:rsid w:val="00075FB3"/>
    <w:rsid w:val="000F336C"/>
    <w:rsid w:val="001342D3"/>
    <w:rsid w:val="0028267A"/>
    <w:rsid w:val="002C27DF"/>
    <w:rsid w:val="00430FAB"/>
    <w:rsid w:val="00441F34"/>
    <w:rsid w:val="00491F62"/>
    <w:rsid w:val="004C0802"/>
    <w:rsid w:val="005C4F00"/>
    <w:rsid w:val="00661A25"/>
    <w:rsid w:val="006E0DDF"/>
    <w:rsid w:val="007337B5"/>
    <w:rsid w:val="007A405C"/>
    <w:rsid w:val="007C58C0"/>
    <w:rsid w:val="008744D0"/>
    <w:rsid w:val="009550E3"/>
    <w:rsid w:val="00A019A6"/>
    <w:rsid w:val="00B62107"/>
    <w:rsid w:val="00C16B1C"/>
    <w:rsid w:val="00C57A92"/>
    <w:rsid w:val="00CC5FFF"/>
    <w:rsid w:val="00E02B1B"/>
    <w:rsid w:val="00E12471"/>
    <w:rsid w:val="00EF61F2"/>
    <w:rsid w:val="00F342BE"/>
    <w:rsid w:val="00F44F5E"/>
    <w:rsid w:val="00FA78FF"/>
    <w:rsid w:val="00FD11BC"/>
    <w:rsid w:val="00FD2D00"/>
    <w:rsid w:val="06D6DDE5"/>
    <w:rsid w:val="0DD77656"/>
    <w:rsid w:val="12D12E2B"/>
    <w:rsid w:val="200ECB04"/>
    <w:rsid w:val="2DE0DFE4"/>
    <w:rsid w:val="3338A0FF"/>
    <w:rsid w:val="34444DD5"/>
    <w:rsid w:val="3BCE0CE7"/>
    <w:rsid w:val="46173D60"/>
    <w:rsid w:val="4DFE8276"/>
    <w:rsid w:val="4E57C1E6"/>
    <w:rsid w:val="512212AD"/>
    <w:rsid w:val="55BC17D5"/>
    <w:rsid w:val="6C6F3851"/>
    <w:rsid w:val="796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CE57"/>
  <w15:docId w15:val="{ED7A409A-BB38-4C6B-B23A-F493766A3D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  <w:ind w:left="10" w:hanging="10"/>
    </w:pPr>
    <w:rPr>
      <w:rFonts w:eastAsia="Calibri" w:cs="Calibri"/>
      <w:color w:val="000000"/>
      <w:kern w:val="2"/>
      <w:sz w:val="22"/>
      <w:szCs w:val="22"/>
      <w:lang w:eastAsia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9" w:line="259" w:lineRule="auto"/>
      <w:ind w:left="42" w:hanging="10"/>
      <w:jc w:val="center"/>
      <w:outlineLvl w:val="0"/>
    </w:pPr>
    <w:rPr>
      <w:rFonts w:eastAsia="Calibri" w:cs="Calibri"/>
      <w:b/>
      <w:color w:val="000000"/>
      <w:kern w:val="2"/>
      <w:sz w:val="28"/>
      <w:szCs w:val="22"/>
      <w:u w:val="single" w:color="000000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0000"/>
      <w:sz w:val="28"/>
      <w:u w:val="single" w:color="000000"/>
    </w:rPr>
  </w:style>
  <w:style w:type="table" w:styleId="TableGrid" w:customStyle="1">
    <w:name w:val="TableGrid"/>
    <w:rPr>
      <w:kern w:val="2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430FA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0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office@paddockwoodcc.com" TargetMode="Externa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White</dc:creator>
  <keywords/>
  <lastModifiedBy>Paddock Wood Community Centre</lastModifiedBy>
  <revision>8</revision>
  <lastPrinted>2024-07-02T17:18:00.0000000Z</lastPrinted>
  <dcterms:created xsi:type="dcterms:W3CDTF">2025-02-20T18:44:00.0000000Z</dcterms:created>
  <dcterms:modified xsi:type="dcterms:W3CDTF">2025-03-04T21:13:31.3859549Z</dcterms:modified>
</coreProperties>
</file>